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09" w:type="dxa"/>
        <w:tblLayout w:type="fixed"/>
        <w:tblLook w:val="04A0" w:firstRow="1" w:lastRow="0" w:firstColumn="1" w:lastColumn="0" w:noHBand="0" w:noVBand="1"/>
      </w:tblPr>
      <w:tblGrid>
        <w:gridCol w:w="2830"/>
        <w:gridCol w:w="2127"/>
        <w:gridCol w:w="2126"/>
        <w:gridCol w:w="2126"/>
      </w:tblGrid>
      <w:tr w:rsidR="00F678F4" w:rsidTr="00D95C3C">
        <w:tc>
          <w:tcPr>
            <w:tcW w:w="9209" w:type="dxa"/>
            <w:gridSpan w:val="4"/>
          </w:tcPr>
          <w:p w:rsidR="00F678F4" w:rsidRDefault="00F678F4" w:rsidP="00D95C3C">
            <w:pPr>
              <w:rPr>
                <w:b/>
                <w:sz w:val="20"/>
                <w:szCs w:val="20"/>
              </w:rPr>
            </w:pPr>
            <w:r w:rsidRPr="00B25405">
              <w:rPr>
                <w:b/>
                <w:sz w:val="20"/>
                <w:szCs w:val="20"/>
              </w:rPr>
              <w:t>Continuing Statutory Service  (Proposed Base Budget Reduction Targets)</w:t>
            </w:r>
            <w:r>
              <w:rPr>
                <w:b/>
                <w:sz w:val="20"/>
                <w:szCs w:val="20"/>
              </w:rPr>
              <w:t xml:space="preserve"> – Template 2</w:t>
            </w:r>
          </w:p>
          <w:p w:rsidR="00F678F4" w:rsidRPr="00B25405" w:rsidRDefault="00245FA8" w:rsidP="00627357">
            <w:pPr>
              <w:rPr>
                <w:b/>
                <w:sz w:val="20"/>
                <w:szCs w:val="20"/>
              </w:rPr>
            </w:pPr>
            <w:r>
              <w:rPr>
                <w:b/>
                <w:sz w:val="20"/>
                <w:szCs w:val="20"/>
              </w:rPr>
              <w:t>BO</w:t>
            </w:r>
            <w:r w:rsidR="00CD5A62">
              <w:rPr>
                <w:b/>
                <w:sz w:val="20"/>
                <w:szCs w:val="20"/>
              </w:rPr>
              <w:t>P 022</w:t>
            </w:r>
          </w:p>
        </w:tc>
      </w:tr>
      <w:tr w:rsidR="00F678F4" w:rsidTr="00F51C73">
        <w:tc>
          <w:tcPr>
            <w:tcW w:w="2830" w:type="dxa"/>
            <w:tcBorders>
              <w:bottom w:val="single" w:sz="4" w:space="0" w:color="auto"/>
            </w:tcBorders>
          </w:tcPr>
          <w:p w:rsidR="006021E2" w:rsidRDefault="00F678F4" w:rsidP="00D95C3C">
            <w:pPr>
              <w:rPr>
                <w:sz w:val="20"/>
                <w:szCs w:val="20"/>
              </w:rPr>
            </w:pPr>
            <w:r w:rsidRPr="00B25405">
              <w:rPr>
                <w:sz w:val="20"/>
                <w:szCs w:val="20"/>
              </w:rPr>
              <w:t>Service name</w:t>
            </w:r>
            <w:r w:rsidR="00F51C73">
              <w:rPr>
                <w:sz w:val="20"/>
                <w:szCs w:val="20"/>
              </w:rPr>
              <w:t>:</w:t>
            </w:r>
          </w:p>
          <w:p w:rsidR="00627357" w:rsidRPr="00F51C73" w:rsidRDefault="006021E2" w:rsidP="00627357">
            <w:pPr>
              <w:rPr>
                <w:rFonts w:ascii="Calibri" w:hAnsi="Calibri"/>
                <w:color w:val="000000"/>
              </w:rPr>
            </w:pPr>
            <w:r>
              <w:rPr>
                <w:rFonts w:ascii="Calibri" w:hAnsi="Calibri"/>
                <w:color w:val="000000"/>
              </w:rPr>
              <w:t>HIGHWAY MANAGEMENT</w:t>
            </w:r>
            <w:r w:rsidR="009F7877">
              <w:rPr>
                <w:rFonts w:ascii="Calibri" w:hAnsi="Calibri"/>
                <w:color w:val="000000"/>
              </w:rPr>
              <w:br/>
              <w:t>BBR 064/066/067/068/</w:t>
            </w:r>
            <w:r w:rsidR="00713E95">
              <w:rPr>
                <w:rFonts w:ascii="Calibri" w:hAnsi="Calibri"/>
                <w:color w:val="000000"/>
              </w:rPr>
              <w:t xml:space="preserve"> </w:t>
            </w:r>
            <w:r w:rsidR="009F7877">
              <w:rPr>
                <w:rFonts w:ascii="Calibri" w:hAnsi="Calibri"/>
                <w:color w:val="000000"/>
              </w:rPr>
              <w:t>069/071</w:t>
            </w:r>
            <w:r w:rsidR="0032008B">
              <w:rPr>
                <w:rFonts w:ascii="Calibri" w:hAnsi="Calibri"/>
                <w:color w:val="000000"/>
              </w:rPr>
              <w:t xml:space="preserve"> </w:t>
            </w:r>
          </w:p>
        </w:tc>
        <w:tc>
          <w:tcPr>
            <w:tcW w:w="6379" w:type="dxa"/>
            <w:gridSpan w:val="3"/>
            <w:tcBorders>
              <w:bottom w:val="single" w:sz="4" w:space="0" w:color="auto"/>
            </w:tcBorders>
          </w:tcPr>
          <w:p w:rsidR="00F678F4" w:rsidRPr="001C719F" w:rsidRDefault="001C719F" w:rsidP="001C719F">
            <w:pPr>
              <w:rPr>
                <w:sz w:val="20"/>
                <w:szCs w:val="20"/>
              </w:rPr>
            </w:pPr>
            <w:r>
              <w:rPr>
                <w:sz w:val="20"/>
                <w:szCs w:val="20"/>
              </w:rPr>
              <w:t xml:space="preserve">Service Description: </w:t>
            </w:r>
            <w:r w:rsidR="00F6030D" w:rsidRPr="001C719F">
              <w:rPr>
                <w:sz w:val="20"/>
                <w:szCs w:val="20"/>
              </w:rPr>
              <w:t>Please see over</w:t>
            </w:r>
          </w:p>
        </w:tc>
      </w:tr>
      <w:tr w:rsidR="00F678F4" w:rsidTr="00F51C73">
        <w:tc>
          <w:tcPr>
            <w:tcW w:w="2830" w:type="dxa"/>
            <w:tcBorders>
              <w:bottom w:val="nil"/>
            </w:tcBorders>
          </w:tcPr>
          <w:p w:rsidR="00F678F4" w:rsidRPr="00B25405" w:rsidRDefault="00F678F4" w:rsidP="00D95C3C">
            <w:pPr>
              <w:rPr>
                <w:sz w:val="20"/>
                <w:szCs w:val="20"/>
              </w:rPr>
            </w:pPr>
          </w:p>
        </w:tc>
        <w:tc>
          <w:tcPr>
            <w:tcW w:w="2127" w:type="dxa"/>
            <w:tcBorders>
              <w:bottom w:val="nil"/>
            </w:tcBorders>
          </w:tcPr>
          <w:p w:rsidR="00F678F4" w:rsidRPr="00084304" w:rsidRDefault="00F678F4" w:rsidP="00D95C3C">
            <w:pPr>
              <w:jc w:val="center"/>
              <w:rPr>
                <w:b/>
                <w:sz w:val="20"/>
                <w:szCs w:val="20"/>
              </w:rPr>
            </w:pPr>
            <w:r w:rsidRPr="00084304">
              <w:rPr>
                <w:b/>
                <w:sz w:val="20"/>
                <w:szCs w:val="20"/>
              </w:rPr>
              <w:t>2015/16</w:t>
            </w:r>
            <w:r w:rsidR="00F51C73">
              <w:rPr>
                <w:b/>
                <w:sz w:val="20"/>
                <w:szCs w:val="20"/>
              </w:rPr>
              <w:t xml:space="preserve"> </w:t>
            </w:r>
          </w:p>
        </w:tc>
        <w:tc>
          <w:tcPr>
            <w:tcW w:w="2126" w:type="dxa"/>
            <w:tcBorders>
              <w:bottom w:val="nil"/>
            </w:tcBorders>
          </w:tcPr>
          <w:p w:rsidR="00F678F4" w:rsidRPr="00084304" w:rsidRDefault="00F678F4" w:rsidP="00D95C3C">
            <w:pPr>
              <w:jc w:val="center"/>
              <w:rPr>
                <w:b/>
                <w:sz w:val="20"/>
                <w:szCs w:val="20"/>
              </w:rPr>
            </w:pPr>
            <w:r w:rsidRPr="00084304">
              <w:rPr>
                <w:b/>
                <w:sz w:val="20"/>
                <w:szCs w:val="20"/>
              </w:rPr>
              <w:t>2016/17</w:t>
            </w:r>
          </w:p>
        </w:tc>
        <w:tc>
          <w:tcPr>
            <w:tcW w:w="2126" w:type="dxa"/>
            <w:tcBorders>
              <w:bottom w:val="nil"/>
            </w:tcBorders>
          </w:tcPr>
          <w:p w:rsidR="00F678F4" w:rsidRPr="00084304" w:rsidRDefault="00F678F4" w:rsidP="00D95C3C">
            <w:pPr>
              <w:jc w:val="center"/>
              <w:rPr>
                <w:b/>
                <w:sz w:val="20"/>
                <w:szCs w:val="20"/>
              </w:rPr>
            </w:pPr>
            <w:r w:rsidRPr="00084304">
              <w:rPr>
                <w:b/>
                <w:sz w:val="20"/>
                <w:szCs w:val="20"/>
              </w:rPr>
              <w:t>2017/18</w:t>
            </w:r>
          </w:p>
        </w:tc>
      </w:tr>
      <w:tr w:rsidR="00F678F4" w:rsidTr="00F51C73">
        <w:tc>
          <w:tcPr>
            <w:tcW w:w="2830" w:type="dxa"/>
            <w:tcBorders>
              <w:top w:val="nil"/>
              <w:bottom w:val="single" w:sz="4" w:space="0" w:color="auto"/>
            </w:tcBorders>
          </w:tcPr>
          <w:p w:rsidR="00F678F4" w:rsidRPr="00B25405" w:rsidRDefault="00F678F4" w:rsidP="00D95C3C">
            <w:pPr>
              <w:rPr>
                <w:sz w:val="20"/>
                <w:szCs w:val="20"/>
              </w:rPr>
            </w:pPr>
          </w:p>
        </w:tc>
        <w:tc>
          <w:tcPr>
            <w:tcW w:w="2127" w:type="dxa"/>
            <w:tcBorders>
              <w:top w:val="nil"/>
              <w:bottom w:val="single" w:sz="4" w:space="0" w:color="auto"/>
            </w:tcBorders>
          </w:tcPr>
          <w:p w:rsidR="00F678F4" w:rsidRPr="00084304" w:rsidRDefault="00F678F4" w:rsidP="00D95C3C">
            <w:pPr>
              <w:jc w:val="center"/>
              <w:rPr>
                <w:b/>
                <w:sz w:val="20"/>
                <w:szCs w:val="20"/>
              </w:rPr>
            </w:pPr>
            <w:r w:rsidRPr="00084304">
              <w:rPr>
                <w:b/>
                <w:sz w:val="20"/>
                <w:szCs w:val="20"/>
              </w:rPr>
              <w:t>£m</w:t>
            </w:r>
          </w:p>
        </w:tc>
        <w:tc>
          <w:tcPr>
            <w:tcW w:w="2126" w:type="dxa"/>
            <w:tcBorders>
              <w:top w:val="nil"/>
              <w:bottom w:val="single" w:sz="4" w:space="0" w:color="auto"/>
            </w:tcBorders>
          </w:tcPr>
          <w:p w:rsidR="00F678F4" w:rsidRPr="00084304" w:rsidRDefault="00F678F4" w:rsidP="00D95C3C">
            <w:pPr>
              <w:jc w:val="center"/>
              <w:rPr>
                <w:b/>
                <w:sz w:val="20"/>
                <w:szCs w:val="20"/>
              </w:rPr>
            </w:pPr>
            <w:r w:rsidRPr="00084304">
              <w:rPr>
                <w:b/>
                <w:sz w:val="20"/>
                <w:szCs w:val="20"/>
              </w:rPr>
              <w:t>£m</w:t>
            </w:r>
          </w:p>
        </w:tc>
        <w:tc>
          <w:tcPr>
            <w:tcW w:w="2126" w:type="dxa"/>
            <w:tcBorders>
              <w:top w:val="nil"/>
              <w:bottom w:val="single" w:sz="4" w:space="0" w:color="auto"/>
            </w:tcBorders>
          </w:tcPr>
          <w:p w:rsidR="00F678F4" w:rsidRPr="00084304" w:rsidRDefault="00F678F4" w:rsidP="00D95C3C">
            <w:pPr>
              <w:jc w:val="center"/>
              <w:rPr>
                <w:b/>
                <w:sz w:val="20"/>
                <w:szCs w:val="20"/>
              </w:rPr>
            </w:pPr>
            <w:r w:rsidRPr="00084304">
              <w:rPr>
                <w:b/>
                <w:sz w:val="20"/>
                <w:szCs w:val="20"/>
              </w:rPr>
              <w:t>£m</w:t>
            </w:r>
          </w:p>
        </w:tc>
      </w:tr>
      <w:tr w:rsidR="0002478F" w:rsidTr="00F51C73">
        <w:tc>
          <w:tcPr>
            <w:tcW w:w="2830" w:type="dxa"/>
            <w:tcBorders>
              <w:top w:val="nil"/>
              <w:bottom w:val="single" w:sz="4" w:space="0" w:color="auto"/>
            </w:tcBorders>
          </w:tcPr>
          <w:p w:rsidR="0002478F" w:rsidRPr="004D588F" w:rsidRDefault="0002478F" w:rsidP="0002478F">
            <w:pPr>
              <w:rPr>
                <w:sz w:val="20"/>
                <w:szCs w:val="20"/>
              </w:rPr>
            </w:pPr>
            <w:r>
              <w:rPr>
                <w:sz w:val="20"/>
                <w:szCs w:val="20"/>
              </w:rPr>
              <w:t>Forecast before savings</w:t>
            </w:r>
          </w:p>
        </w:tc>
        <w:tc>
          <w:tcPr>
            <w:tcW w:w="2127" w:type="dxa"/>
            <w:tcBorders>
              <w:top w:val="nil"/>
              <w:bottom w:val="single" w:sz="4" w:space="0" w:color="auto"/>
            </w:tcBorders>
          </w:tcPr>
          <w:p w:rsidR="0002478F" w:rsidRPr="00F32F81" w:rsidRDefault="0002478F" w:rsidP="0002478F">
            <w:pPr>
              <w:jc w:val="right"/>
              <w:rPr>
                <w:sz w:val="20"/>
                <w:szCs w:val="20"/>
              </w:rPr>
            </w:pPr>
            <w:r w:rsidRPr="00FB7ABB">
              <w:rPr>
                <w:noProof/>
                <w:sz w:val="20"/>
                <w:szCs w:val="20"/>
              </w:rPr>
              <w:t>28.530</w:t>
            </w:r>
          </w:p>
        </w:tc>
        <w:tc>
          <w:tcPr>
            <w:tcW w:w="2126" w:type="dxa"/>
            <w:tcBorders>
              <w:top w:val="nil"/>
              <w:bottom w:val="single" w:sz="4" w:space="0" w:color="auto"/>
            </w:tcBorders>
          </w:tcPr>
          <w:p w:rsidR="0002478F" w:rsidRPr="00F32F81" w:rsidRDefault="0002478F" w:rsidP="0002478F">
            <w:pPr>
              <w:jc w:val="right"/>
              <w:rPr>
                <w:sz w:val="20"/>
                <w:szCs w:val="20"/>
              </w:rPr>
            </w:pPr>
            <w:r w:rsidRPr="00FB7ABB">
              <w:rPr>
                <w:noProof/>
                <w:sz w:val="20"/>
                <w:szCs w:val="20"/>
              </w:rPr>
              <w:t>29.852</w:t>
            </w:r>
          </w:p>
        </w:tc>
        <w:tc>
          <w:tcPr>
            <w:tcW w:w="2126" w:type="dxa"/>
            <w:tcBorders>
              <w:top w:val="nil"/>
              <w:bottom w:val="single" w:sz="4" w:space="0" w:color="auto"/>
            </w:tcBorders>
          </w:tcPr>
          <w:p w:rsidR="0002478F" w:rsidRPr="00F32F81" w:rsidRDefault="0002478F" w:rsidP="0002478F">
            <w:pPr>
              <w:jc w:val="right"/>
              <w:rPr>
                <w:sz w:val="20"/>
                <w:szCs w:val="20"/>
              </w:rPr>
            </w:pPr>
            <w:r w:rsidRPr="00FB7ABB">
              <w:rPr>
                <w:noProof/>
                <w:sz w:val="20"/>
                <w:szCs w:val="20"/>
              </w:rPr>
              <w:t>31.106</w:t>
            </w:r>
          </w:p>
        </w:tc>
      </w:tr>
      <w:tr w:rsidR="0002478F" w:rsidTr="00F51C73">
        <w:tc>
          <w:tcPr>
            <w:tcW w:w="2830" w:type="dxa"/>
            <w:shd w:val="clear" w:color="auto" w:fill="auto"/>
          </w:tcPr>
          <w:p w:rsidR="0002478F" w:rsidRDefault="0002478F" w:rsidP="0002478F">
            <w:pPr>
              <w:rPr>
                <w:sz w:val="20"/>
                <w:szCs w:val="20"/>
              </w:rPr>
            </w:pPr>
            <w:r>
              <w:rPr>
                <w:sz w:val="20"/>
                <w:szCs w:val="20"/>
              </w:rPr>
              <w:t>Budgeted savings (cumulative)</w:t>
            </w:r>
          </w:p>
        </w:tc>
        <w:tc>
          <w:tcPr>
            <w:tcW w:w="2127" w:type="dxa"/>
            <w:shd w:val="clear" w:color="auto" w:fill="auto"/>
          </w:tcPr>
          <w:p w:rsidR="0002478F" w:rsidRPr="00F32F81" w:rsidRDefault="0002478F" w:rsidP="0002478F">
            <w:pPr>
              <w:jc w:val="right"/>
              <w:rPr>
                <w:sz w:val="20"/>
                <w:szCs w:val="20"/>
              </w:rPr>
            </w:pPr>
            <w:r w:rsidRPr="00FB7ABB">
              <w:rPr>
                <w:noProof/>
                <w:sz w:val="20"/>
                <w:szCs w:val="20"/>
              </w:rPr>
              <w:t>-4.504</w:t>
            </w:r>
          </w:p>
        </w:tc>
        <w:tc>
          <w:tcPr>
            <w:tcW w:w="2126" w:type="dxa"/>
            <w:shd w:val="clear" w:color="auto" w:fill="auto"/>
          </w:tcPr>
          <w:p w:rsidR="0002478F" w:rsidRPr="00F32F81" w:rsidRDefault="0002478F" w:rsidP="0002478F">
            <w:pPr>
              <w:jc w:val="right"/>
              <w:rPr>
                <w:sz w:val="20"/>
                <w:szCs w:val="20"/>
              </w:rPr>
            </w:pPr>
            <w:r w:rsidRPr="00FB7ABB">
              <w:rPr>
                <w:noProof/>
                <w:sz w:val="20"/>
                <w:szCs w:val="20"/>
              </w:rPr>
              <w:t>-5.515</w:t>
            </w:r>
          </w:p>
        </w:tc>
        <w:tc>
          <w:tcPr>
            <w:tcW w:w="2126" w:type="dxa"/>
            <w:shd w:val="clear" w:color="auto" w:fill="auto"/>
          </w:tcPr>
          <w:p w:rsidR="0002478F" w:rsidRPr="00F32F81" w:rsidRDefault="0002478F" w:rsidP="0002478F">
            <w:pPr>
              <w:jc w:val="right"/>
              <w:rPr>
                <w:sz w:val="20"/>
                <w:szCs w:val="20"/>
              </w:rPr>
            </w:pPr>
            <w:r w:rsidRPr="00FB7ABB">
              <w:rPr>
                <w:noProof/>
                <w:sz w:val="20"/>
                <w:szCs w:val="20"/>
              </w:rPr>
              <w:t>-6.504</w:t>
            </w:r>
          </w:p>
        </w:tc>
      </w:tr>
      <w:tr w:rsidR="0002478F" w:rsidTr="00F51C73">
        <w:tc>
          <w:tcPr>
            <w:tcW w:w="2830" w:type="dxa"/>
          </w:tcPr>
          <w:p w:rsidR="0002478F" w:rsidRDefault="0002478F" w:rsidP="0002478F">
            <w:pPr>
              <w:rPr>
                <w:sz w:val="20"/>
                <w:szCs w:val="20"/>
              </w:rPr>
            </w:pPr>
            <w:r>
              <w:rPr>
                <w:sz w:val="20"/>
                <w:szCs w:val="20"/>
              </w:rPr>
              <w:t>Planned net expenditure</w:t>
            </w:r>
            <w:r w:rsidRPr="004D588F">
              <w:rPr>
                <w:sz w:val="20"/>
                <w:szCs w:val="20"/>
              </w:rPr>
              <w:t xml:space="preserve"> </w:t>
            </w:r>
          </w:p>
          <w:p w:rsidR="0002478F" w:rsidRDefault="0002478F" w:rsidP="0002478F">
            <w:pPr>
              <w:rPr>
                <w:sz w:val="20"/>
                <w:szCs w:val="20"/>
              </w:rPr>
            </w:pPr>
            <w:r w:rsidRPr="005B77F6">
              <w:rPr>
                <w:b/>
                <w:sz w:val="20"/>
                <w:szCs w:val="20"/>
              </w:rPr>
              <w:t>(Approved 2015 net budget)</w:t>
            </w:r>
          </w:p>
        </w:tc>
        <w:tc>
          <w:tcPr>
            <w:tcW w:w="2127" w:type="dxa"/>
            <w:tcBorders>
              <w:bottom w:val="single" w:sz="4" w:space="0" w:color="auto"/>
            </w:tcBorders>
          </w:tcPr>
          <w:p w:rsidR="0002478F" w:rsidRPr="00B25405" w:rsidRDefault="0002478F" w:rsidP="0002478F">
            <w:pPr>
              <w:jc w:val="right"/>
              <w:rPr>
                <w:sz w:val="20"/>
                <w:szCs w:val="20"/>
              </w:rPr>
            </w:pPr>
            <w:r w:rsidRPr="00FB7ABB">
              <w:rPr>
                <w:noProof/>
                <w:sz w:val="20"/>
                <w:szCs w:val="20"/>
              </w:rPr>
              <w:t>24.026</w:t>
            </w:r>
          </w:p>
        </w:tc>
        <w:tc>
          <w:tcPr>
            <w:tcW w:w="2126" w:type="dxa"/>
            <w:tcBorders>
              <w:bottom w:val="single" w:sz="4" w:space="0" w:color="auto"/>
            </w:tcBorders>
          </w:tcPr>
          <w:p w:rsidR="0002478F" w:rsidRPr="00B25405" w:rsidRDefault="0002478F" w:rsidP="0002478F">
            <w:pPr>
              <w:jc w:val="right"/>
              <w:rPr>
                <w:sz w:val="20"/>
                <w:szCs w:val="20"/>
              </w:rPr>
            </w:pPr>
            <w:r w:rsidRPr="00FB7ABB">
              <w:rPr>
                <w:noProof/>
                <w:sz w:val="20"/>
                <w:szCs w:val="20"/>
              </w:rPr>
              <w:t>24.337</w:t>
            </w:r>
          </w:p>
        </w:tc>
        <w:tc>
          <w:tcPr>
            <w:tcW w:w="2126" w:type="dxa"/>
            <w:tcBorders>
              <w:bottom w:val="single" w:sz="4" w:space="0" w:color="auto"/>
            </w:tcBorders>
          </w:tcPr>
          <w:p w:rsidR="0002478F" w:rsidRPr="00B25405" w:rsidRDefault="0002478F" w:rsidP="0002478F">
            <w:pPr>
              <w:jc w:val="right"/>
              <w:rPr>
                <w:sz w:val="20"/>
                <w:szCs w:val="20"/>
              </w:rPr>
            </w:pPr>
            <w:r w:rsidRPr="00FB7ABB">
              <w:rPr>
                <w:noProof/>
                <w:sz w:val="20"/>
                <w:szCs w:val="20"/>
              </w:rPr>
              <w:t>24.602</w:t>
            </w:r>
          </w:p>
        </w:tc>
      </w:tr>
      <w:tr w:rsidR="0002478F" w:rsidTr="00F51C73">
        <w:tc>
          <w:tcPr>
            <w:tcW w:w="2830" w:type="dxa"/>
            <w:tcBorders>
              <w:right w:val="single" w:sz="4" w:space="0" w:color="auto"/>
            </w:tcBorders>
            <w:shd w:val="clear" w:color="auto" w:fill="D9D9D9" w:themeFill="background1" w:themeFillShade="D9"/>
          </w:tcPr>
          <w:p w:rsidR="0002478F" w:rsidRPr="001774BD" w:rsidRDefault="0002478F" w:rsidP="0002478F">
            <w:pPr>
              <w:rPr>
                <w:b/>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2478F" w:rsidRPr="00B25405" w:rsidRDefault="0002478F" w:rsidP="0002478F">
            <w:pPr>
              <w:jc w:val="right"/>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2478F" w:rsidRPr="00B25405" w:rsidRDefault="0002478F" w:rsidP="0002478F">
            <w:pPr>
              <w:jc w:val="right"/>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2478F" w:rsidRPr="00B25405" w:rsidRDefault="0002478F" w:rsidP="0002478F">
            <w:pPr>
              <w:jc w:val="right"/>
              <w:rPr>
                <w:sz w:val="20"/>
                <w:szCs w:val="20"/>
              </w:rPr>
            </w:pPr>
          </w:p>
        </w:tc>
      </w:tr>
      <w:tr w:rsidR="0002478F" w:rsidTr="00690610">
        <w:tc>
          <w:tcPr>
            <w:tcW w:w="2830" w:type="dxa"/>
            <w:tcBorders>
              <w:right w:val="single" w:sz="4" w:space="0" w:color="auto"/>
            </w:tcBorders>
            <w:shd w:val="clear" w:color="auto" w:fill="auto"/>
          </w:tcPr>
          <w:p w:rsidR="0002478F" w:rsidRPr="00E43B74" w:rsidRDefault="0002478F" w:rsidP="0002478F">
            <w:pPr>
              <w:rPr>
                <w:sz w:val="20"/>
                <w:szCs w:val="20"/>
              </w:rPr>
            </w:pPr>
            <w:r w:rsidRPr="00E43B74">
              <w:rPr>
                <w:sz w:val="20"/>
                <w:szCs w:val="20"/>
              </w:rPr>
              <w:t>August 15 monitoring position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2478F" w:rsidRPr="00B25405" w:rsidRDefault="0002478F" w:rsidP="0002478F">
            <w:pPr>
              <w:jc w:val="right"/>
              <w:rPr>
                <w:sz w:val="20"/>
                <w:szCs w:val="20"/>
              </w:rPr>
            </w:pPr>
            <w:r w:rsidRPr="00FB7ABB">
              <w:rPr>
                <w:noProof/>
                <w:sz w:val="20"/>
                <w:szCs w:val="20"/>
              </w:rPr>
              <w:t>-0.400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2478F" w:rsidRPr="00B25405" w:rsidRDefault="0002478F" w:rsidP="0002478F">
            <w:pPr>
              <w:jc w:val="right"/>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2478F" w:rsidRPr="00B25405" w:rsidRDefault="0002478F" w:rsidP="0002478F">
            <w:pPr>
              <w:jc w:val="right"/>
              <w:rPr>
                <w:sz w:val="20"/>
                <w:szCs w:val="20"/>
              </w:rPr>
            </w:pPr>
          </w:p>
        </w:tc>
      </w:tr>
      <w:tr w:rsidR="0002478F" w:rsidTr="00F51C73">
        <w:tc>
          <w:tcPr>
            <w:tcW w:w="2830" w:type="dxa"/>
            <w:tcBorders>
              <w:right w:val="single" w:sz="4" w:space="0" w:color="auto"/>
            </w:tcBorders>
          </w:tcPr>
          <w:p w:rsidR="0002478F" w:rsidRPr="00EA1D7C" w:rsidRDefault="0002478F" w:rsidP="0002478F">
            <w:pPr>
              <w:rPr>
                <w:sz w:val="20"/>
                <w:szCs w:val="20"/>
              </w:rPr>
            </w:pPr>
            <w:r w:rsidRPr="00EA1D7C">
              <w:rPr>
                <w:sz w:val="20"/>
                <w:szCs w:val="20"/>
              </w:rPr>
              <w:t>Demand variations</w:t>
            </w:r>
            <w:r>
              <w:rPr>
                <w:sz w:val="20"/>
                <w:szCs w:val="20"/>
              </w:rPr>
              <w:t xml:space="preserve"> (cumulative)</w:t>
            </w:r>
          </w:p>
        </w:tc>
        <w:tc>
          <w:tcPr>
            <w:tcW w:w="2127" w:type="dxa"/>
            <w:tcBorders>
              <w:top w:val="single" w:sz="4" w:space="0" w:color="auto"/>
              <w:left w:val="single" w:sz="4" w:space="0" w:color="auto"/>
              <w:bottom w:val="single" w:sz="4" w:space="0" w:color="auto"/>
              <w:right w:val="single" w:sz="4" w:space="0" w:color="auto"/>
            </w:tcBorders>
          </w:tcPr>
          <w:p w:rsidR="0002478F" w:rsidRPr="00B25405" w:rsidRDefault="0002478F" w:rsidP="0002478F">
            <w:pPr>
              <w:jc w:val="right"/>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02478F" w:rsidRPr="00B25405" w:rsidRDefault="0002478F" w:rsidP="0002478F">
            <w:pPr>
              <w:jc w:val="right"/>
              <w:rPr>
                <w:sz w:val="20"/>
                <w:szCs w:val="20"/>
              </w:rPr>
            </w:pPr>
            <w:r w:rsidRPr="00FB7ABB">
              <w:rPr>
                <w:noProof/>
                <w:sz w:val="20"/>
                <w:szCs w:val="20"/>
              </w:rPr>
              <w:t>0.000</w:t>
            </w:r>
          </w:p>
        </w:tc>
        <w:tc>
          <w:tcPr>
            <w:tcW w:w="2126" w:type="dxa"/>
            <w:tcBorders>
              <w:top w:val="single" w:sz="4" w:space="0" w:color="auto"/>
              <w:left w:val="single" w:sz="4" w:space="0" w:color="auto"/>
              <w:bottom w:val="single" w:sz="4" w:space="0" w:color="auto"/>
              <w:right w:val="single" w:sz="4" w:space="0" w:color="auto"/>
            </w:tcBorders>
          </w:tcPr>
          <w:p w:rsidR="0002478F" w:rsidRPr="00B25405" w:rsidRDefault="0002478F" w:rsidP="0002478F">
            <w:pPr>
              <w:jc w:val="right"/>
              <w:rPr>
                <w:sz w:val="20"/>
                <w:szCs w:val="20"/>
              </w:rPr>
            </w:pPr>
            <w:r w:rsidRPr="00FB7ABB">
              <w:rPr>
                <w:noProof/>
                <w:sz w:val="20"/>
                <w:szCs w:val="20"/>
              </w:rPr>
              <w:t>-0.150</w:t>
            </w:r>
          </w:p>
        </w:tc>
      </w:tr>
      <w:tr w:rsidR="0002478F" w:rsidTr="00F51C73">
        <w:tc>
          <w:tcPr>
            <w:tcW w:w="2830" w:type="dxa"/>
            <w:tcBorders>
              <w:right w:val="single" w:sz="4" w:space="0" w:color="auto"/>
            </w:tcBorders>
          </w:tcPr>
          <w:p w:rsidR="0002478F" w:rsidRPr="00EA1D7C" w:rsidRDefault="0002478F" w:rsidP="0002478F">
            <w:pPr>
              <w:rPr>
                <w:sz w:val="20"/>
                <w:szCs w:val="20"/>
              </w:rPr>
            </w:pPr>
            <w:r>
              <w:rPr>
                <w:sz w:val="20"/>
                <w:szCs w:val="20"/>
              </w:rPr>
              <w:t>Price variations (cumulative)</w:t>
            </w:r>
          </w:p>
        </w:tc>
        <w:tc>
          <w:tcPr>
            <w:tcW w:w="2127" w:type="dxa"/>
            <w:tcBorders>
              <w:top w:val="single" w:sz="4" w:space="0" w:color="auto"/>
              <w:left w:val="single" w:sz="4" w:space="0" w:color="auto"/>
              <w:bottom w:val="single" w:sz="4" w:space="0" w:color="auto"/>
              <w:right w:val="single" w:sz="4" w:space="0" w:color="auto"/>
            </w:tcBorders>
          </w:tcPr>
          <w:p w:rsidR="0002478F" w:rsidRPr="00B25405" w:rsidRDefault="0002478F" w:rsidP="0002478F">
            <w:pPr>
              <w:jc w:val="right"/>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02478F" w:rsidRPr="00B25405" w:rsidRDefault="0002478F" w:rsidP="0002478F">
            <w:pPr>
              <w:jc w:val="right"/>
              <w:rPr>
                <w:sz w:val="20"/>
                <w:szCs w:val="20"/>
              </w:rPr>
            </w:pPr>
            <w:r w:rsidRPr="00FB7ABB">
              <w:rPr>
                <w:noProof/>
                <w:sz w:val="20"/>
                <w:szCs w:val="20"/>
              </w:rPr>
              <w:t>-0.339</w:t>
            </w:r>
          </w:p>
        </w:tc>
        <w:tc>
          <w:tcPr>
            <w:tcW w:w="2126" w:type="dxa"/>
            <w:tcBorders>
              <w:top w:val="single" w:sz="4" w:space="0" w:color="auto"/>
              <w:left w:val="single" w:sz="4" w:space="0" w:color="auto"/>
              <w:bottom w:val="single" w:sz="4" w:space="0" w:color="auto"/>
              <w:right w:val="single" w:sz="4" w:space="0" w:color="auto"/>
            </w:tcBorders>
          </w:tcPr>
          <w:p w:rsidR="0002478F" w:rsidRPr="00B25405" w:rsidRDefault="0002478F" w:rsidP="0002478F">
            <w:pPr>
              <w:jc w:val="right"/>
              <w:rPr>
                <w:sz w:val="20"/>
                <w:szCs w:val="20"/>
              </w:rPr>
            </w:pPr>
            <w:r w:rsidRPr="00FB7ABB">
              <w:rPr>
                <w:noProof/>
                <w:sz w:val="20"/>
                <w:szCs w:val="20"/>
              </w:rPr>
              <w:t>-0.727</w:t>
            </w:r>
          </w:p>
        </w:tc>
      </w:tr>
      <w:tr w:rsidR="0002478F" w:rsidTr="00F51C73">
        <w:tc>
          <w:tcPr>
            <w:tcW w:w="2830" w:type="dxa"/>
            <w:shd w:val="clear" w:color="auto" w:fill="auto"/>
          </w:tcPr>
          <w:p w:rsidR="0002478F" w:rsidRPr="004D588F" w:rsidRDefault="0002478F" w:rsidP="0002478F">
            <w:pPr>
              <w:rPr>
                <w:sz w:val="20"/>
                <w:szCs w:val="20"/>
              </w:rPr>
            </w:pPr>
            <w:r>
              <w:rPr>
                <w:sz w:val="20"/>
                <w:szCs w:val="20"/>
              </w:rPr>
              <w:t>Undeliverable savings (cumulative)</w:t>
            </w:r>
          </w:p>
        </w:tc>
        <w:tc>
          <w:tcPr>
            <w:tcW w:w="2127" w:type="dxa"/>
            <w:shd w:val="clear" w:color="auto" w:fill="auto"/>
          </w:tcPr>
          <w:p w:rsidR="0002478F" w:rsidRPr="00C844FA" w:rsidRDefault="0002478F" w:rsidP="0002478F">
            <w:pPr>
              <w:jc w:val="right"/>
              <w:rPr>
                <w:sz w:val="20"/>
                <w:szCs w:val="20"/>
              </w:rPr>
            </w:pPr>
            <w:r w:rsidRPr="00FB7ABB">
              <w:rPr>
                <w:noProof/>
                <w:sz w:val="20"/>
                <w:szCs w:val="20"/>
              </w:rPr>
              <w:t>0.000</w:t>
            </w:r>
          </w:p>
        </w:tc>
        <w:tc>
          <w:tcPr>
            <w:tcW w:w="2126" w:type="dxa"/>
            <w:shd w:val="clear" w:color="auto" w:fill="auto"/>
          </w:tcPr>
          <w:p w:rsidR="0002478F" w:rsidRPr="00C844FA" w:rsidRDefault="0002478F" w:rsidP="0002478F">
            <w:pPr>
              <w:jc w:val="right"/>
              <w:rPr>
                <w:sz w:val="20"/>
                <w:szCs w:val="20"/>
              </w:rPr>
            </w:pPr>
            <w:r w:rsidRPr="00FB7ABB">
              <w:rPr>
                <w:noProof/>
                <w:sz w:val="20"/>
                <w:szCs w:val="20"/>
              </w:rPr>
              <w:t>0.000</w:t>
            </w:r>
          </w:p>
        </w:tc>
        <w:tc>
          <w:tcPr>
            <w:tcW w:w="2126" w:type="dxa"/>
            <w:shd w:val="clear" w:color="auto" w:fill="auto"/>
          </w:tcPr>
          <w:p w:rsidR="0002478F" w:rsidRPr="00C844FA" w:rsidRDefault="0002478F" w:rsidP="0002478F">
            <w:pPr>
              <w:jc w:val="right"/>
              <w:rPr>
                <w:sz w:val="20"/>
                <w:szCs w:val="20"/>
              </w:rPr>
            </w:pPr>
            <w:r w:rsidRPr="00FB7ABB">
              <w:rPr>
                <w:noProof/>
                <w:sz w:val="20"/>
                <w:szCs w:val="20"/>
              </w:rPr>
              <w:t>0.000</w:t>
            </w:r>
          </w:p>
        </w:tc>
      </w:tr>
      <w:tr w:rsidR="0002478F" w:rsidTr="00F51C73">
        <w:tc>
          <w:tcPr>
            <w:tcW w:w="2830" w:type="dxa"/>
            <w:shd w:val="clear" w:color="auto" w:fill="auto"/>
          </w:tcPr>
          <w:p w:rsidR="0002478F" w:rsidRDefault="0002478F" w:rsidP="0002478F">
            <w:pPr>
              <w:rPr>
                <w:sz w:val="20"/>
                <w:szCs w:val="20"/>
              </w:rPr>
            </w:pPr>
            <w:r>
              <w:rPr>
                <w:sz w:val="20"/>
                <w:szCs w:val="20"/>
              </w:rPr>
              <w:t>Loss of grant (cumulative)</w:t>
            </w:r>
          </w:p>
        </w:tc>
        <w:tc>
          <w:tcPr>
            <w:tcW w:w="2127" w:type="dxa"/>
            <w:shd w:val="clear" w:color="auto" w:fill="auto"/>
          </w:tcPr>
          <w:p w:rsidR="0002478F" w:rsidRPr="00C844FA" w:rsidRDefault="0002478F" w:rsidP="0002478F">
            <w:pPr>
              <w:jc w:val="right"/>
              <w:rPr>
                <w:sz w:val="20"/>
                <w:szCs w:val="20"/>
              </w:rPr>
            </w:pPr>
            <w:r w:rsidRPr="00FB7ABB">
              <w:rPr>
                <w:noProof/>
                <w:sz w:val="20"/>
                <w:szCs w:val="20"/>
              </w:rPr>
              <w:t>0.000</w:t>
            </w:r>
          </w:p>
        </w:tc>
        <w:tc>
          <w:tcPr>
            <w:tcW w:w="2126" w:type="dxa"/>
            <w:shd w:val="clear" w:color="auto" w:fill="auto"/>
          </w:tcPr>
          <w:p w:rsidR="0002478F" w:rsidRPr="00C844FA" w:rsidRDefault="0002478F" w:rsidP="0002478F">
            <w:pPr>
              <w:jc w:val="right"/>
              <w:rPr>
                <w:sz w:val="20"/>
                <w:szCs w:val="20"/>
              </w:rPr>
            </w:pPr>
            <w:r w:rsidRPr="00FB7ABB">
              <w:rPr>
                <w:noProof/>
                <w:sz w:val="20"/>
                <w:szCs w:val="20"/>
              </w:rPr>
              <w:t>0.000</w:t>
            </w:r>
          </w:p>
        </w:tc>
        <w:tc>
          <w:tcPr>
            <w:tcW w:w="2126" w:type="dxa"/>
            <w:shd w:val="clear" w:color="auto" w:fill="auto"/>
          </w:tcPr>
          <w:p w:rsidR="0002478F" w:rsidRPr="00C844FA" w:rsidRDefault="0002478F" w:rsidP="0002478F">
            <w:pPr>
              <w:jc w:val="right"/>
              <w:rPr>
                <w:sz w:val="20"/>
                <w:szCs w:val="20"/>
              </w:rPr>
            </w:pPr>
            <w:r w:rsidRPr="00FB7ABB">
              <w:rPr>
                <w:noProof/>
                <w:sz w:val="20"/>
                <w:szCs w:val="20"/>
              </w:rPr>
              <w:t>0.000</w:t>
            </w:r>
          </w:p>
        </w:tc>
      </w:tr>
      <w:tr w:rsidR="0002478F" w:rsidTr="00F51C73">
        <w:tc>
          <w:tcPr>
            <w:tcW w:w="2830" w:type="dxa"/>
            <w:tcBorders>
              <w:bottom w:val="single" w:sz="4" w:space="0" w:color="auto"/>
            </w:tcBorders>
            <w:shd w:val="clear" w:color="auto" w:fill="BFBFBF" w:themeFill="background1" w:themeFillShade="BF"/>
          </w:tcPr>
          <w:p w:rsidR="0002478F" w:rsidRPr="00EA1D7C" w:rsidRDefault="0002478F" w:rsidP="0002478F">
            <w:pPr>
              <w:rPr>
                <w:b/>
                <w:sz w:val="20"/>
                <w:szCs w:val="20"/>
              </w:rPr>
            </w:pPr>
            <w:r>
              <w:rPr>
                <w:b/>
                <w:sz w:val="20"/>
                <w:szCs w:val="20"/>
              </w:rPr>
              <w:t>Revised Resource Requirement</w:t>
            </w:r>
          </w:p>
        </w:tc>
        <w:tc>
          <w:tcPr>
            <w:tcW w:w="2127" w:type="dxa"/>
            <w:tcBorders>
              <w:bottom w:val="single" w:sz="4" w:space="0" w:color="auto"/>
            </w:tcBorders>
            <w:shd w:val="clear" w:color="auto" w:fill="BFBFBF" w:themeFill="background1" w:themeFillShade="BF"/>
          </w:tcPr>
          <w:p w:rsidR="0002478F" w:rsidRPr="00F32F81" w:rsidRDefault="0002478F" w:rsidP="0002478F">
            <w:pPr>
              <w:jc w:val="right"/>
              <w:rPr>
                <w:b/>
                <w:sz w:val="20"/>
                <w:szCs w:val="20"/>
              </w:rPr>
            </w:pPr>
            <w:r w:rsidRPr="00FB7ABB">
              <w:rPr>
                <w:b/>
                <w:noProof/>
                <w:sz w:val="20"/>
                <w:szCs w:val="20"/>
              </w:rPr>
              <w:t>23.626</w:t>
            </w:r>
          </w:p>
        </w:tc>
        <w:tc>
          <w:tcPr>
            <w:tcW w:w="2126" w:type="dxa"/>
            <w:tcBorders>
              <w:bottom w:val="single" w:sz="4" w:space="0" w:color="auto"/>
            </w:tcBorders>
            <w:shd w:val="clear" w:color="auto" w:fill="BFBFBF" w:themeFill="background1" w:themeFillShade="BF"/>
          </w:tcPr>
          <w:p w:rsidR="0002478F" w:rsidRPr="00F32F81" w:rsidRDefault="0002478F" w:rsidP="0002478F">
            <w:pPr>
              <w:jc w:val="right"/>
              <w:rPr>
                <w:b/>
                <w:sz w:val="20"/>
                <w:szCs w:val="20"/>
              </w:rPr>
            </w:pPr>
            <w:r w:rsidRPr="00FB7ABB">
              <w:rPr>
                <w:b/>
                <w:noProof/>
                <w:sz w:val="20"/>
                <w:szCs w:val="20"/>
              </w:rPr>
              <w:t>23.998</w:t>
            </w:r>
          </w:p>
        </w:tc>
        <w:tc>
          <w:tcPr>
            <w:tcW w:w="2126" w:type="dxa"/>
            <w:tcBorders>
              <w:bottom w:val="single" w:sz="4" w:space="0" w:color="auto"/>
            </w:tcBorders>
            <w:shd w:val="clear" w:color="auto" w:fill="BFBFBF" w:themeFill="background1" w:themeFillShade="BF"/>
          </w:tcPr>
          <w:p w:rsidR="0002478F" w:rsidRPr="00F32F81" w:rsidRDefault="0002478F" w:rsidP="0002478F">
            <w:pPr>
              <w:jc w:val="right"/>
              <w:rPr>
                <w:b/>
                <w:sz w:val="20"/>
                <w:szCs w:val="20"/>
              </w:rPr>
            </w:pPr>
            <w:r w:rsidRPr="00FB7ABB">
              <w:rPr>
                <w:b/>
                <w:noProof/>
                <w:sz w:val="20"/>
                <w:szCs w:val="20"/>
              </w:rPr>
              <w:t>23.725</w:t>
            </w:r>
          </w:p>
        </w:tc>
      </w:tr>
      <w:tr w:rsidR="0002478F" w:rsidTr="00F51C73">
        <w:tc>
          <w:tcPr>
            <w:tcW w:w="2830" w:type="dxa"/>
            <w:tcBorders>
              <w:bottom w:val="single" w:sz="4" w:space="0" w:color="auto"/>
            </w:tcBorders>
            <w:shd w:val="clear" w:color="auto" w:fill="auto"/>
          </w:tcPr>
          <w:p w:rsidR="0002478F" w:rsidRPr="00F26FCF" w:rsidRDefault="0002478F" w:rsidP="0002478F">
            <w:pPr>
              <w:rPr>
                <w:sz w:val="20"/>
                <w:szCs w:val="20"/>
              </w:rPr>
            </w:pPr>
            <w:r>
              <w:rPr>
                <w:sz w:val="20"/>
                <w:szCs w:val="20"/>
              </w:rPr>
              <w:t>Additional savings target for approval (cumulative)</w:t>
            </w:r>
          </w:p>
        </w:tc>
        <w:tc>
          <w:tcPr>
            <w:tcW w:w="2127" w:type="dxa"/>
            <w:tcBorders>
              <w:bottom w:val="single" w:sz="4" w:space="0" w:color="auto"/>
            </w:tcBorders>
            <w:shd w:val="clear" w:color="auto" w:fill="auto"/>
          </w:tcPr>
          <w:p w:rsidR="0002478F" w:rsidRPr="00B25405" w:rsidRDefault="0002478F" w:rsidP="0002478F">
            <w:pPr>
              <w:jc w:val="right"/>
              <w:rPr>
                <w:sz w:val="20"/>
                <w:szCs w:val="20"/>
              </w:rPr>
            </w:pPr>
            <w:r w:rsidRPr="00FB7ABB">
              <w:rPr>
                <w:noProof/>
                <w:sz w:val="20"/>
                <w:szCs w:val="20"/>
              </w:rPr>
              <w:t>0.000</w:t>
            </w:r>
          </w:p>
        </w:tc>
        <w:tc>
          <w:tcPr>
            <w:tcW w:w="2126" w:type="dxa"/>
            <w:tcBorders>
              <w:bottom w:val="single" w:sz="4" w:space="0" w:color="auto"/>
            </w:tcBorders>
            <w:shd w:val="clear" w:color="auto" w:fill="auto"/>
          </w:tcPr>
          <w:p w:rsidR="0002478F" w:rsidRPr="00B25405" w:rsidRDefault="0002478F" w:rsidP="0002478F">
            <w:pPr>
              <w:jc w:val="right"/>
              <w:rPr>
                <w:sz w:val="20"/>
                <w:szCs w:val="20"/>
              </w:rPr>
            </w:pPr>
            <w:r w:rsidRPr="00FB7ABB">
              <w:rPr>
                <w:noProof/>
                <w:sz w:val="20"/>
                <w:szCs w:val="20"/>
              </w:rPr>
              <w:t>-2.808</w:t>
            </w:r>
          </w:p>
        </w:tc>
        <w:tc>
          <w:tcPr>
            <w:tcW w:w="2126" w:type="dxa"/>
            <w:tcBorders>
              <w:bottom w:val="single" w:sz="4" w:space="0" w:color="auto"/>
            </w:tcBorders>
            <w:shd w:val="clear" w:color="auto" w:fill="auto"/>
          </w:tcPr>
          <w:p w:rsidR="0002478F" w:rsidRPr="00B25405" w:rsidRDefault="0002478F" w:rsidP="0002478F">
            <w:pPr>
              <w:jc w:val="right"/>
              <w:rPr>
                <w:sz w:val="20"/>
                <w:szCs w:val="20"/>
              </w:rPr>
            </w:pPr>
            <w:r w:rsidRPr="00FB7ABB">
              <w:rPr>
                <w:noProof/>
                <w:sz w:val="20"/>
                <w:szCs w:val="20"/>
              </w:rPr>
              <w:t>-2.928</w:t>
            </w:r>
          </w:p>
        </w:tc>
      </w:tr>
      <w:tr w:rsidR="0002478F" w:rsidTr="00F51C73">
        <w:tc>
          <w:tcPr>
            <w:tcW w:w="2830" w:type="dxa"/>
            <w:tcBorders>
              <w:bottom w:val="single" w:sz="4" w:space="0" w:color="auto"/>
            </w:tcBorders>
            <w:shd w:val="clear" w:color="auto" w:fill="AEAAAA" w:themeFill="background2" w:themeFillShade="BF"/>
          </w:tcPr>
          <w:p w:rsidR="0002478F" w:rsidRPr="00F26FCF" w:rsidRDefault="0002478F" w:rsidP="0002478F">
            <w:pPr>
              <w:rPr>
                <w:b/>
                <w:sz w:val="20"/>
                <w:szCs w:val="20"/>
              </w:rPr>
            </w:pPr>
            <w:r w:rsidRPr="00F26FCF">
              <w:rPr>
                <w:b/>
                <w:sz w:val="20"/>
                <w:szCs w:val="20"/>
              </w:rPr>
              <w:t>Revised proposed budget</w:t>
            </w:r>
          </w:p>
        </w:tc>
        <w:tc>
          <w:tcPr>
            <w:tcW w:w="2127" w:type="dxa"/>
            <w:tcBorders>
              <w:bottom w:val="single" w:sz="4" w:space="0" w:color="auto"/>
            </w:tcBorders>
            <w:shd w:val="clear" w:color="auto" w:fill="AEAAAA" w:themeFill="background2" w:themeFillShade="BF"/>
          </w:tcPr>
          <w:p w:rsidR="0002478F" w:rsidRPr="00F32F81" w:rsidRDefault="0002478F" w:rsidP="0002478F">
            <w:pPr>
              <w:jc w:val="right"/>
              <w:rPr>
                <w:b/>
                <w:sz w:val="20"/>
                <w:szCs w:val="20"/>
              </w:rPr>
            </w:pPr>
            <w:r w:rsidRPr="00FB7ABB">
              <w:rPr>
                <w:b/>
                <w:noProof/>
                <w:sz w:val="20"/>
                <w:szCs w:val="20"/>
              </w:rPr>
              <w:t>23.626</w:t>
            </w:r>
          </w:p>
        </w:tc>
        <w:tc>
          <w:tcPr>
            <w:tcW w:w="2126" w:type="dxa"/>
            <w:tcBorders>
              <w:bottom w:val="single" w:sz="4" w:space="0" w:color="auto"/>
            </w:tcBorders>
            <w:shd w:val="clear" w:color="auto" w:fill="AEAAAA" w:themeFill="background2" w:themeFillShade="BF"/>
          </w:tcPr>
          <w:p w:rsidR="0002478F" w:rsidRPr="00F32F81" w:rsidRDefault="0002478F" w:rsidP="0002478F">
            <w:pPr>
              <w:jc w:val="right"/>
              <w:rPr>
                <w:b/>
                <w:sz w:val="20"/>
                <w:szCs w:val="20"/>
              </w:rPr>
            </w:pPr>
            <w:r w:rsidRPr="00FB7ABB">
              <w:rPr>
                <w:b/>
                <w:noProof/>
                <w:sz w:val="20"/>
                <w:szCs w:val="20"/>
              </w:rPr>
              <w:t>21.190</w:t>
            </w:r>
          </w:p>
        </w:tc>
        <w:tc>
          <w:tcPr>
            <w:tcW w:w="2126" w:type="dxa"/>
            <w:tcBorders>
              <w:bottom w:val="single" w:sz="4" w:space="0" w:color="auto"/>
            </w:tcBorders>
            <w:shd w:val="clear" w:color="auto" w:fill="AEAAAA" w:themeFill="background2" w:themeFillShade="BF"/>
          </w:tcPr>
          <w:p w:rsidR="0002478F" w:rsidRPr="00F32F81" w:rsidRDefault="0002478F" w:rsidP="0002478F">
            <w:pPr>
              <w:jc w:val="right"/>
              <w:rPr>
                <w:b/>
                <w:sz w:val="20"/>
                <w:szCs w:val="20"/>
              </w:rPr>
            </w:pPr>
            <w:r w:rsidRPr="00FB7ABB">
              <w:rPr>
                <w:b/>
                <w:noProof/>
                <w:sz w:val="20"/>
                <w:szCs w:val="20"/>
              </w:rPr>
              <w:t>20.797</w:t>
            </w:r>
          </w:p>
        </w:tc>
      </w:tr>
      <w:tr w:rsidR="0002478F" w:rsidTr="00F51C73">
        <w:tc>
          <w:tcPr>
            <w:tcW w:w="2830" w:type="dxa"/>
            <w:shd w:val="clear" w:color="auto" w:fill="auto"/>
          </w:tcPr>
          <w:p w:rsidR="0002478F" w:rsidRPr="00B25405" w:rsidRDefault="0002478F" w:rsidP="0002478F">
            <w:pPr>
              <w:rPr>
                <w:sz w:val="20"/>
                <w:szCs w:val="20"/>
              </w:rPr>
            </w:pPr>
            <w:r>
              <w:rPr>
                <w:sz w:val="20"/>
                <w:szCs w:val="20"/>
              </w:rPr>
              <w:t>Proposed risk</w:t>
            </w:r>
            <w:r w:rsidRPr="00B25405">
              <w:rPr>
                <w:sz w:val="20"/>
                <w:szCs w:val="20"/>
              </w:rPr>
              <w:t xml:space="preserve"> reserve provision</w:t>
            </w:r>
            <w:r>
              <w:rPr>
                <w:sz w:val="20"/>
                <w:szCs w:val="20"/>
              </w:rPr>
              <w:t xml:space="preserve"> (discrete year)</w:t>
            </w:r>
          </w:p>
        </w:tc>
        <w:tc>
          <w:tcPr>
            <w:tcW w:w="2127" w:type="dxa"/>
            <w:shd w:val="clear" w:color="auto" w:fill="auto"/>
          </w:tcPr>
          <w:p w:rsidR="0002478F" w:rsidRPr="00B25405" w:rsidRDefault="0002478F" w:rsidP="0002478F">
            <w:pPr>
              <w:jc w:val="right"/>
              <w:rPr>
                <w:sz w:val="20"/>
                <w:szCs w:val="20"/>
              </w:rPr>
            </w:pPr>
          </w:p>
        </w:tc>
        <w:tc>
          <w:tcPr>
            <w:tcW w:w="2126" w:type="dxa"/>
            <w:shd w:val="clear" w:color="auto" w:fill="auto"/>
          </w:tcPr>
          <w:p w:rsidR="0002478F" w:rsidRPr="00B25405" w:rsidRDefault="0002478F" w:rsidP="0002478F">
            <w:pPr>
              <w:jc w:val="right"/>
              <w:rPr>
                <w:sz w:val="20"/>
                <w:szCs w:val="20"/>
              </w:rPr>
            </w:pPr>
            <w:r w:rsidRPr="00FB7ABB">
              <w:rPr>
                <w:noProof/>
                <w:sz w:val="20"/>
                <w:szCs w:val="20"/>
              </w:rPr>
              <w:t>1.404</w:t>
            </w:r>
          </w:p>
        </w:tc>
        <w:tc>
          <w:tcPr>
            <w:tcW w:w="2126" w:type="dxa"/>
            <w:shd w:val="clear" w:color="auto" w:fill="auto"/>
          </w:tcPr>
          <w:p w:rsidR="0002478F" w:rsidRPr="00B25405" w:rsidRDefault="0002478F" w:rsidP="0002478F">
            <w:pPr>
              <w:jc w:val="right"/>
              <w:rPr>
                <w:sz w:val="20"/>
                <w:szCs w:val="20"/>
              </w:rPr>
            </w:pPr>
            <w:r w:rsidRPr="00FB7ABB">
              <w:rPr>
                <w:noProof/>
                <w:sz w:val="20"/>
                <w:szCs w:val="20"/>
              </w:rPr>
              <w:t>0.000</w:t>
            </w:r>
          </w:p>
        </w:tc>
      </w:tr>
      <w:tr w:rsidR="00690CE6" w:rsidTr="00F51C73">
        <w:tc>
          <w:tcPr>
            <w:tcW w:w="2830" w:type="dxa"/>
          </w:tcPr>
          <w:p w:rsidR="00690CE6" w:rsidRPr="00B25405" w:rsidRDefault="00690CE6" w:rsidP="00690CE6">
            <w:pPr>
              <w:rPr>
                <w:sz w:val="20"/>
                <w:szCs w:val="20"/>
              </w:rPr>
            </w:pPr>
            <w:r w:rsidRPr="0066742C">
              <w:rPr>
                <w:sz w:val="20"/>
                <w:szCs w:val="20"/>
              </w:rPr>
              <w:t xml:space="preserve">Policy Decisions needed to deliver the </w:t>
            </w:r>
            <w:r>
              <w:rPr>
                <w:sz w:val="20"/>
                <w:szCs w:val="20"/>
              </w:rPr>
              <w:t xml:space="preserve">target </w:t>
            </w:r>
            <w:r w:rsidRPr="0066742C">
              <w:rPr>
                <w:sz w:val="20"/>
                <w:szCs w:val="20"/>
              </w:rPr>
              <w:t xml:space="preserve">savings </w:t>
            </w:r>
          </w:p>
        </w:tc>
        <w:tc>
          <w:tcPr>
            <w:tcW w:w="6379" w:type="dxa"/>
            <w:gridSpan w:val="3"/>
          </w:tcPr>
          <w:p w:rsidR="00690CE6" w:rsidRDefault="00690CE6" w:rsidP="00690CE6">
            <w:pPr>
              <w:rPr>
                <w:sz w:val="20"/>
                <w:szCs w:val="20"/>
              </w:rPr>
            </w:pPr>
            <w:r w:rsidRPr="000B5A1F">
              <w:rPr>
                <w:sz w:val="20"/>
                <w:szCs w:val="20"/>
              </w:rPr>
              <w:t>Redu</w:t>
            </w:r>
            <w:r>
              <w:rPr>
                <w:sz w:val="20"/>
                <w:szCs w:val="20"/>
              </w:rPr>
              <w:t>ce the highways budget by £2.808</w:t>
            </w:r>
            <w:r w:rsidRPr="000B5A1F">
              <w:rPr>
                <w:sz w:val="20"/>
                <w:szCs w:val="20"/>
              </w:rPr>
              <w:t>m</w:t>
            </w:r>
            <w:r>
              <w:rPr>
                <w:sz w:val="20"/>
                <w:szCs w:val="20"/>
              </w:rPr>
              <w:t xml:space="preserve"> (including £83k from Lancashire Parking Services Budget Option)</w:t>
            </w:r>
            <w:r w:rsidRPr="000B5A1F">
              <w:rPr>
                <w:sz w:val="20"/>
                <w:szCs w:val="20"/>
              </w:rPr>
              <w:t xml:space="preserve"> to realign the Council's highways expenditure in line with the financial benchmarking comparison.  This will reduce the Council's highways budget from the upper quartile to the average level of expenditure for the group of benchmarked authorities. </w:t>
            </w:r>
          </w:p>
          <w:p w:rsidR="00690CE6" w:rsidRPr="00BD038E" w:rsidRDefault="00690CE6" w:rsidP="00690CE6">
            <w:pPr>
              <w:rPr>
                <w:sz w:val="20"/>
                <w:szCs w:val="20"/>
                <w:vertAlign w:val="superscript"/>
              </w:rPr>
            </w:pPr>
          </w:p>
        </w:tc>
      </w:tr>
      <w:tr w:rsidR="00690CE6" w:rsidTr="00F51C73">
        <w:tc>
          <w:tcPr>
            <w:tcW w:w="2830" w:type="dxa"/>
          </w:tcPr>
          <w:p w:rsidR="00690CE6" w:rsidRPr="0066742C" w:rsidRDefault="00690CE6" w:rsidP="00690CE6">
            <w:pPr>
              <w:rPr>
                <w:sz w:val="20"/>
                <w:szCs w:val="20"/>
              </w:rPr>
            </w:pPr>
            <w:r>
              <w:rPr>
                <w:sz w:val="20"/>
                <w:szCs w:val="20"/>
              </w:rPr>
              <w:t>Impact on service</w:t>
            </w:r>
          </w:p>
        </w:tc>
        <w:tc>
          <w:tcPr>
            <w:tcW w:w="6379" w:type="dxa"/>
            <w:gridSpan w:val="3"/>
          </w:tcPr>
          <w:p w:rsidR="00690CE6" w:rsidRDefault="00690CE6" w:rsidP="00690CE6">
            <w:pPr>
              <w:rPr>
                <w:sz w:val="20"/>
                <w:szCs w:val="20"/>
              </w:rPr>
            </w:pPr>
            <w:r>
              <w:rPr>
                <w:sz w:val="20"/>
                <w:szCs w:val="20"/>
              </w:rPr>
              <w:t xml:space="preserve">Some types of remedial works will no longer be carried out and the frequency of some services can be reduced through working more efficiently and smarter, and on a needs only basis.  This will be achieved without compromising safety or the quality and response times of the services provided.  </w:t>
            </w:r>
          </w:p>
          <w:p w:rsidR="00690CE6" w:rsidRDefault="00690CE6" w:rsidP="00690CE6">
            <w:pPr>
              <w:rPr>
                <w:sz w:val="20"/>
                <w:szCs w:val="20"/>
              </w:rPr>
            </w:pPr>
          </w:p>
          <w:p w:rsidR="00690CE6" w:rsidRDefault="00690CE6" w:rsidP="00690CE6">
            <w:pPr>
              <w:rPr>
                <w:sz w:val="20"/>
                <w:szCs w:val="20"/>
              </w:rPr>
            </w:pPr>
            <w:r>
              <w:rPr>
                <w:sz w:val="20"/>
                <w:szCs w:val="20"/>
              </w:rPr>
              <w:t xml:space="preserve">The service will at all times prioritise activities to ensure that safety is maintained. </w:t>
            </w:r>
          </w:p>
          <w:p w:rsidR="00690CE6" w:rsidRDefault="00690CE6" w:rsidP="00690CE6">
            <w:pPr>
              <w:rPr>
                <w:sz w:val="20"/>
                <w:szCs w:val="20"/>
              </w:rPr>
            </w:pPr>
          </w:p>
          <w:p w:rsidR="00690CE6" w:rsidRDefault="00690CE6" w:rsidP="00690CE6">
            <w:pPr>
              <w:rPr>
                <w:sz w:val="20"/>
                <w:szCs w:val="20"/>
              </w:rPr>
            </w:pPr>
            <w:r>
              <w:rPr>
                <w:sz w:val="20"/>
                <w:szCs w:val="20"/>
              </w:rPr>
              <w:t xml:space="preserve">Fees and charges will be reviewed to increase income wherever practicable. </w:t>
            </w:r>
          </w:p>
          <w:p w:rsidR="00690CE6" w:rsidRPr="006D7C73" w:rsidRDefault="00690CE6" w:rsidP="00690CE6">
            <w:pPr>
              <w:rPr>
                <w:sz w:val="20"/>
                <w:szCs w:val="20"/>
              </w:rPr>
            </w:pPr>
          </w:p>
        </w:tc>
      </w:tr>
      <w:tr w:rsidR="00690CE6" w:rsidTr="00F51C73">
        <w:tc>
          <w:tcPr>
            <w:tcW w:w="2830" w:type="dxa"/>
          </w:tcPr>
          <w:p w:rsidR="00690CE6" w:rsidRPr="00B25405" w:rsidRDefault="00690CE6" w:rsidP="00690CE6">
            <w:pPr>
              <w:rPr>
                <w:sz w:val="20"/>
                <w:szCs w:val="20"/>
              </w:rPr>
            </w:pPr>
            <w:r w:rsidRPr="00B25405">
              <w:rPr>
                <w:sz w:val="20"/>
                <w:szCs w:val="20"/>
              </w:rPr>
              <w:t xml:space="preserve">Actions needed to deliver the </w:t>
            </w:r>
            <w:r>
              <w:rPr>
                <w:sz w:val="20"/>
                <w:szCs w:val="20"/>
              </w:rPr>
              <w:t xml:space="preserve">target </w:t>
            </w:r>
            <w:r w:rsidRPr="00B25405">
              <w:rPr>
                <w:sz w:val="20"/>
                <w:szCs w:val="20"/>
              </w:rPr>
              <w:t>savings</w:t>
            </w:r>
          </w:p>
        </w:tc>
        <w:tc>
          <w:tcPr>
            <w:tcW w:w="6379" w:type="dxa"/>
            <w:gridSpan w:val="3"/>
          </w:tcPr>
          <w:p w:rsidR="00690CE6" w:rsidRDefault="00690CE6" w:rsidP="00690CE6">
            <w:pPr>
              <w:rPr>
                <w:sz w:val="20"/>
                <w:szCs w:val="20"/>
              </w:rPr>
            </w:pPr>
            <w:r>
              <w:rPr>
                <w:sz w:val="20"/>
                <w:szCs w:val="20"/>
              </w:rPr>
              <w:t xml:space="preserve">Zero based review of all areas of highway expenditure and service delivery models. </w:t>
            </w:r>
          </w:p>
          <w:p w:rsidR="00690CE6" w:rsidRDefault="00690CE6" w:rsidP="00690CE6">
            <w:pPr>
              <w:rPr>
                <w:sz w:val="20"/>
                <w:szCs w:val="20"/>
              </w:rPr>
            </w:pPr>
            <w:r>
              <w:rPr>
                <w:sz w:val="20"/>
                <w:szCs w:val="20"/>
              </w:rPr>
              <w:t>Service reconfiguration as appropriate.</w:t>
            </w:r>
          </w:p>
          <w:p w:rsidR="00690CE6" w:rsidRDefault="00690CE6" w:rsidP="00690CE6">
            <w:pPr>
              <w:rPr>
                <w:sz w:val="20"/>
                <w:szCs w:val="20"/>
              </w:rPr>
            </w:pPr>
            <w:r>
              <w:rPr>
                <w:sz w:val="20"/>
                <w:szCs w:val="20"/>
              </w:rPr>
              <w:t>Review of the public realm agreements with district councils</w:t>
            </w:r>
          </w:p>
          <w:p w:rsidR="00690CE6" w:rsidRDefault="00690CE6" w:rsidP="00690CE6">
            <w:pPr>
              <w:rPr>
                <w:sz w:val="20"/>
                <w:szCs w:val="20"/>
              </w:rPr>
            </w:pPr>
            <w:r>
              <w:rPr>
                <w:sz w:val="20"/>
                <w:szCs w:val="20"/>
              </w:rPr>
              <w:t>Review of policy and service standards.</w:t>
            </w:r>
          </w:p>
          <w:p w:rsidR="00690CE6" w:rsidRDefault="00690CE6" w:rsidP="00690CE6">
            <w:pPr>
              <w:rPr>
                <w:sz w:val="20"/>
                <w:szCs w:val="20"/>
              </w:rPr>
            </w:pPr>
            <w:r>
              <w:rPr>
                <w:sz w:val="20"/>
                <w:szCs w:val="20"/>
              </w:rPr>
              <w:t>Any changes to policy or service standard will require separate authorisation by the Cabinet Member.</w:t>
            </w:r>
          </w:p>
          <w:p w:rsidR="00690CE6" w:rsidRDefault="00690CE6" w:rsidP="00690CE6">
            <w:pPr>
              <w:rPr>
                <w:sz w:val="20"/>
                <w:szCs w:val="20"/>
              </w:rPr>
            </w:pPr>
          </w:p>
          <w:p w:rsidR="00690CE6" w:rsidRDefault="00690CE6" w:rsidP="00690CE6">
            <w:pPr>
              <w:rPr>
                <w:sz w:val="20"/>
                <w:szCs w:val="20"/>
              </w:rPr>
            </w:pPr>
            <w:r>
              <w:rPr>
                <w:sz w:val="20"/>
                <w:szCs w:val="20"/>
              </w:rPr>
              <w:t>Consult on proposal/staffing structures by 31</w:t>
            </w:r>
            <w:r w:rsidRPr="002F37F9">
              <w:rPr>
                <w:sz w:val="20"/>
                <w:szCs w:val="20"/>
                <w:vertAlign w:val="superscript"/>
              </w:rPr>
              <w:t>st</w:t>
            </w:r>
            <w:r>
              <w:rPr>
                <w:sz w:val="20"/>
                <w:szCs w:val="20"/>
              </w:rPr>
              <w:t xml:space="preserve"> December 2015.</w:t>
            </w:r>
          </w:p>
          <w:p w:rsidR="00690CE6" w:rsidRDefault="00690CE6" w:rsidP="00690CE6">
            <w:pPr>
              <w:rPr>
                <w:sz w:val="20"/>
                <w:szCs w:val="20"/>
              </w:rPr>
            </w:pPr>
          </w:p>
          <w:p w:rsidR="00690CE6" w:rsidRDefault="00690CE6" w:rsidP="00690CE6">
            <w:pPr>
              <w:rPr>
                <w:sz w:val="20"/>
                <w:szCs w:val="20"/>
              </w:rPr>
            </w:pPr>
            <w:r>
              <w:rPr>
                <w:sz w:val="20"/>
                <w:szCs w:val="20"/>
              </w:rPr>
              <w:t>Statutory consultation process with Trades Unions with respect to potential for redundancies, January 2016.</w:t>
            </w:r>
          </w:p>
          <w:p w:rsidR="00690CE6" w:rsidRPr="002F37F9" w:rsidRDefault="00690CE6" w:rsidP="00690CE6">
            <w:pPr>
              <w:rPr>
                <w:sz w:val="20"/>
                <w:szCs w:val="20"/>
              </w:rPr>
            </w:pPr>
          </w:p>
        </w:tc>
      </w:tr>
      <w:tr w:rsidR="00690CE6" w:rsidTr="00F51C73">
        <w:tc>
          <w:tcPr>
            <w:tcW w:w="2830" w:type="dxa"/>
          </w:tcPr>
          <w:p w:rsidR="00690CE6" w:rsidRDefault="00690CE6" w:rsidP="00690CE6">
            <w:pPr>
              <w:rPr>
                <w:sz w:val="20"/>
                <w:szCs w:val="20"/>
              </w:rPr>
            </w:pPr>
            <w:r>
              <w:rPr>
                <w:sz w:val="20"/>
                <w:szCs w:val="20"/>
              </w:rPr>
              <w:t>Equality Analysis</w:t>
            </w:r>
          </w:p>
          <w:p w:rsidR="00AE5523" w:rsidRPr="00B25405" w:rsidRDefault="00AE5523" w:rsidP="00690CE6">
            <w:pPr>
              <w:rPr>
                <w:sz w:val="20"/>
                <w:szCs w:val="20"/>
              </w:rPr>
            </w:pPr>
          </w:p>
        </w:tc>
        <w:tc>
          <w:tcPr>
            <w:tcW w:w="6379" w:type="dxa"/>
            <w:gridSpan w:val="3"/>
          </w:tcPr>
          <w:p w:rsidR="00690CE6" w:rsidRPr="008039DA" w:rsidRDefault="00143F62" w:rsidP="00690CE6">
            <w:pPr>
              <w:rPr>
                <w:sz w:val="20"/>
                <w:szCs w:val="20"/>
              </w:rPr>
            </w:pPr>
            <w:hyperlink r:id="rId5" w:history="1">
              <w:r w:rsidR="009C6A20">
                <w:rPr>
                  <w:rStyle w:val="Hyperlink"/>
                  <w:sz w:val="20"/>
                  <w:szCs w:val="20"/>
                </w:rPr>
                <w:t>Click here to view d</w:t>
              </w:r>
              <w:bookmarkStart w:id="0" w:name="_GoBack"/>
              <w:bookmarkEnd w:id="0"/>
              <w:r w:rsidR="009C6A20">
                <w:rPr>
                  <w:rStyle w:val="Hyperlink"/>
                  <w:sz w:val="20"/>
                  <w:szCs w:val="20"/>
                </w:rPr>
                <w:t>o</w:t>
              </w:r>
              <w:r w:rsidR="009C6A20">
                <w:rPr>
                  <w:rStyle w:val="Hyperlink"/>
                  <w:sz w:val="20"/>
                  <w:szCs w:val="20"/>
                </w:rPr>
                <w:t>cument</w:t>
              </w:r>
            </w:hyperlink>
          </w:p>
        </w:tc>
      </w:tr>
    </w:tbl>
    <w:p w:rsidR="0047450A" w:rsidRDefault="0047450A"/>
    <w:p w:rsidR="00552955" w:rsidRPr="00713E95" w:rsidRDefault="00552955" w:rsidP="00552955">
      <w:pPr>
        <w:rPr>
          <w:b/>
          <w:sz w:val="20"/>
          <w:szCs w:val="20"/>
        </w:rPr>
      </w:pPr>
      <w:r w:rsidRPr="00713E95">
        <w:rPr>
          <w:b/>
          <w:sz w:val="20"/>
          <w:szCs w:val="20"/>
        </w:rPr>
        <w:t>What does this service deliver?</w:t>
      </w:r>
    </w:p>
    <w:p w:rsidR="00552955" w:rsidRPr="00713E95" w:rsidRDefault="00552955" w:rsidP="00552955">
      <w:pPr>
        <w:pStyle w:val="ListParagraph"/>
        <w:ind w:left="360"/>
        <w:rPr>
          <w:color w:val="000000" w:themeColor="text1"/>
          <w:sz w:val="20"/>
          <w:szCs w:val="20"/>
        </w:rPr>
      </w:pPr>
      <w:r w:rsidRPr="00713E95">
        <w:rPr>
          <w:color w:val="000000" w:themeColor="text1"/>
          <w:sz w:val="20"/>
          <w:szCs w:val="20"/>
        </w:rPr>
        <w:t xml:space="preserve">The function of this service is to manage and maintain the council's highway network consisting of 7000km of highway in line with the council's statutory obligations. </w:t>
      </w:r>
    </w:p>
    <w:p w:rsidR="00552955" w:rsidRPr="00713E95" w:rsidRDefault="00552955" w:rsidP="00552955">
      <w:pPr>
        <w:pStyle w:val="ListParagraph"/>
        <w:ind w:left="360"/>
        <w:rPr>
          <w:color w:val="000000" w:themeColor="text1"/>
          <w:sz w:val="20"/>
          <w:szCs w:val="20"/>
        </w:rPr>
      </w:pPr>
      <w:r w:rsidRPr="00713E95">
        <w:rPr>
          <w:color w:val="000000" w:themeColor="text1"/>
          <w:sz w:val="20"/>
          <w:szCs w:val="20"/>
        </w:rPr>
        <w:t>This is achieved through:</w:t>
      </w:r>
    </w:p>
    <w:p w:rsidR="00552955" w:rsidRPr="00713E95" w:rsidRDefault="00552955" w:rsidP="00552955">
      <w:pPr>
        <w:pStyle w:val="ListParagraph"/>
        <w:ind w:left="360"/>
        <w:rPr>
          <w:color w:val="000000" w:themeColor="text1"/>
          <w:sz w:val="20"/>
          <w:szCs w:val="20"/>
        </w:rPr>
      </w:pPr>
    </w:p>
    <w:p w:rsidR="00552955" w:rsidRPr="00713E95" w:rsidRDefault="00552955" w:rsidP="00552955">
      <w:pPr>
        <w:pStyle w:val="ListParagraph"/>
        <w:numPr>
          <w:ilvl w:val="0"/>
          <w:numId w:val="4"/>
        </w:numPr>
        <w:rPr>
          <w:color w:val="000000" w:themeColor="text1"/>
          <w:sz w:val="20"/>
          <w:szCs w:val="20"/>
        </w:rPr>
      </w:pPr>
      <w:r w:rsidRPr="00713E95">
        <w:rPr>
          <w:color w:val="000000" w:themeColor="text1"/>
          <w:sz w:val="20"/>
          <w:szCs w:val="20"/>
        </w:rPr>
        <w:t>Third party payments to district and parish councils for the maintenance of green spaces including grass cutting, tree/hedge maintenance and weed control.</w:t>
      </w:r>
    </w:p>
    <w:p w:rsidR="00552955" w:rsidRPr="00A735C9" w:rsidRDefault="00552955" w:rsidP="00A735C9">
      <w:pPr>
        <w:pStyle w:val="ListParagraph"/>
        <w:numPr>
          <w:ilvl w:val="0"/>
          <w:numId w:val="4"/>
        </w:numPr>
        <w:rPr>
          <w:color w:val="000000" w:themeColor="text1"/>
          <w:sz w:val="20"/>
          <w:szCs w:val="20"/>
        </w:rPr>
      </w:pPr>
      <w:r w:rsidRPr="00713E95">
        <w:rPr>
          <w:color w:val="000000" w:themeColor="text1"/>
          <w:sz w:val="20"/>
          <w:szCs w:val="20"/>
        </w:rPr>
        <w:t>The deployment of Highway Operations resources to undertake highway maintenance revenue works including footway and carriageway</w:t>
      </w:r>
      <w:r w:rsidRPr="00A735C9">
        <w:rPr>
          <w:color w:val="000000" w:themeColor="text1"/>
          <w:sz w:val="20"/>
          <w:szCs w:val="20"/>
        </w:rPr>
        <w:t xml:space="preserve"> defect repairs, existing signs, road markings and safety fenc</w:t>
      </w:r>
      <w:r w:rsidR="00A735C9" w:rsidRPr="00A735C9">
        <w:rPr>
          <w:color w:val="000000" w:themeColor="text1"/>
          <w:sz w:val="20"/>
          <w:szCs w:val="20"/>
        </w:rPr>
        <w:t xml:space="preserve">e maintenance, and motorway sweeping, </w:t>
      </w:r>
      <w:r w:rsidRPr="00A735C9">
        <w:rPr>
          <w:color w:val="000000" w:themeColor="text1"/>
          <w:sz w:val="20"/>
          <w:szCs w:val="20"/>
        </w:rPr>
        <w:t>repairs of highwa</w:t>
      </w:r>
      <w:r w:rsidR="006D7C73">
        <w:rPr>
          <w:color w:val="000000" w:themeColor="text1"/>
          <w:sz w:val="20"/>
          <w:szCs w:val="20"/>
        </w:rPr>
        <w:t xml:space="preserve">y damage, </w:t>
      </w:r>
      <w:r w:rsidRPr="00A735C9">
        <w:rPr>
          <w:color w:val="000000" w:themeColor="text1"/>
          <w:sz w:val="20"/>
          <w:szCs w:val="20"/>
        </w:rPr>
        <w:t>drainage defect works through the</w:t>
      </w:r>
      <w:r w:rsidR="006D7C73">
        <w:rPr>
          <w:color w:val="000000" w:themeColor="text1"/>
          <w:sz w:val="20"/>
          <w:szCs w:val="20"/>
        </w:rPr>
        <w:t xml:space="preserve"> cyclical maintenance programme and</w:t>
      </w:r>
      <w:r w:rsidR="00A735C9" w:rsidRPr="00A735C9">
        <w:rPr>
          <w:color w:val="000000" w:themeColor="text1"/>
          <w:sz w:val="20"/>
          <w:szCs w:val="20"/>
        </w:rPr>
        <w:t xml:space="preserve"> </w:t>
      </w:r>
      <w:r w:rsidR="006D7C73">
        <w:rPr>
          <w:color w:val="000000" w:themeColor="text1"/>
          <w:sz w:val="20"/>
          <w:szCs w:val="20"/>
        </w:rPr>
        <w:t>reactive maintenance works and the appropriate treatment in dealing with severe weather.</w:t>
      </w:r>
    </w:p>
    <w:p w:rsidR="001E399B" w:rsidRPr="00A735C9" w:rsidRDefault="00552955" w:rsidP="004214D3">
      <w:pPr>
        <w:pStyle w:val="ListParagraph"/>
        <w:numPr>
          <w:ilvl w:val="0"/>
          <w:numId w:val="4"/>
        </w:numPr>
        <w:rPr>
          <w:color w:val="000000" w:themeColor="text1"/>
          <w:sz w:val="20"/>
          <w:szCs w:val="20"/>
        </w:rPr>
      </w:pPr>
      <w:r w:rsidRPr="00A735C9">
        <w:rPr>
          <w:color w:val="000000" w:themeColor="text1"/>
          <w:sz w:val="20"/>
          <w:szCs w:val="20"/>
        </w:rPr>
        <w:t>Provision of the Highway Safety Inspection Team.</w:t>
      </w:r>
    </w:p>
    <w:p w:rsidR="00D40155" w:rsidRPr="00A735C9" w:rsidRDefault="00552955" w:rsidP="00A735C9">
      <w:pPr>
        <w:pStyle w:val="ListParagraph"/>
        <w:numPr>
          <w:ilvl w:val="0"/>
          <w:numId w:val="4"/>
        </w:numPr>
        <w:rPr>
          <w:color w:val="000000" w:themeColor="text1"/>
          <w:sz w:val="20"/>
          <w:szCs w:val="20"/>
        </w:rPr>
      </w:pPr>
      <w:r w:rsidRPr="00A735C9">
        <w:rPr>
          <w:color w:val="000000" w:themeColor="text1"/>
          <w:sz w:val="20"/>
          <w:szCs w:val="20"/>
        </w:rPr>
        <w:t>Contribution to corporate insurance premium expenditure.</w:t>
      </w:r>
    </w:p>
    <w:p w:rsidR="00DD1F45" w:rsidRDefault="00A735C9" w:rsidP="00DD1F45">
      <w:pPr>
        <w:pStyle w:val="ListParagraph"/>
        <w:numPr>
          <w:ilvl w:val="0"/>
          <w:numId w:val="7"/>
        </w:numPr>
        <w:rPr>
          <w:color w:val="000000" w:themeColor="text1"/>
          <w:sz w:val="20"/>
          <w:szCs w:val="20"/>
        </w:rPr>
      </w:pPr>
      <w:r>
        <w:rPr>
          <w:color w:val="000000" w:themeColor="text1"/>
          <w:sz w:val="20"/>
          <w:szCs w:val="20"/>
        </w:rPr>
        <w:t>T</w:t>
      </w:r>
      <w:r w:rsidR="00D40155" w:rsidRPr="00B632B4">
        <w:rPr>
          <w:color w:val="000000" w:themeColor="text1"/>
          <w:sz w:val="20"/>
          <w:szCs w:val="20"/>
        </w:rPr>
        <w:t>he provision of a Strategic Highway Planning function which carries out transport and environmental modelling, strategic option appraisal, economic assessment of network/transport change, contribution to the delivery of area wide transport master plans and studies, and delivers a data collection and evaluation service.</w:t>
      </w:r>
    </w:p>
    <w:p w:rsidR="00DD1F45" w:rsidRPr="00DD1F45" w:rsidRDefault="00D40155" w:rsidP="009C0231">
      <w:pPr>
        <w:pStyle w:val="ListParagraph"/>
        <w:numPr>
          <w:ilvl w:val="0"/>
          <w:numId w:val="7"/>
        </w:numPr>
        <w:rPr>
          <w:sz w:val="20"/>
          <w:szCs w:val="20"/>
        </w:rPr>
      </w:pPr>
      <w:r w:rsidRPr="00DD1F45">
        <w:rPr>
          <w:color w:val="000000" w:themeColor="text1"/>
          <w:sz w:val="20"/>
          <w:szCs w:val="20"/>
        </w:rPr>
        <w:t xml:space="preserve">The provision of a Developer Support team responsible for the highway development control function for planning applications.  </w:t>
      </w:r>
    </w:p>
    <w:p w:rsidR="006D7C73" w:rsidRDefault="00404006" w:rsidP="00DD1F45">
      <w:pPr>
        <w:pStyle w:val="ListParagraph"/>
        <w:numPr>
          <w:ilvl w:val="0"/>
          <w:numId w:val="7"/>
        </w:numPr>
        <w:rPr>
          <w:sz w:val="20"/>
          <w:szCs w:val="20"/>
        </w:rPr>
      </w:pPr>
      <w:r w:rsidRPr="00404006">
        <w:rPr>
          <w:sz w:val="20"/>
          <w:szCs w:val="20"/>
        </w:rPr>
        <w:t xml:space="preserve">Provision of teams responsible for the operational, maintenance and design function for street lighting to manage and maintain the county's street lights, illuminated signs and bollards and associated cable networks. </w:t>
      </w:r>
    </w:p>
    <w:p w:rsidR="006D7C73" w:rsidRDefault="00404006" w:rsidP="00DD1F45">
      <w:pPr>
        <w:pStyle w:val="ListParagraph"/>
        <w:numPr>
          <w:ilvl w:val="0"/>
          <w:numId w:val="7"/>
        </w:numPr>
        <w:rPr>
          <w:sz w:val="20"/>
          <w:szCs w:val="20"/>
        </w:rPr>
      </w:pPr>
      <w:r w:rsidRPr="006D7C73">
        <w:rPr>
          <w:sz w:val="20"/>
          <w:szCs w:val="20"/>
        </w:rPr>
        <w:t>Provision of teams responsible for the design, manufacture and installation of highway signs for all County Council services as well as external customers.</w:t>
      </w:r>
    </w:p>
    <w:p w:rsidR="006D7C73" w:rsidRDefault="00404006" w:rsidP="00DD1F45">
      <w:pPr>
        <w:pStyle w:val="ListParagraph"/>
        <w:numPr>
          <w:ilvl w:val="0"/>
          <w:numId w:val="7"/>
        </w:numPr>
        <w:rPr>
          <w:sz w:val="20"/>
          <w:szCs w:val="20"/>
        </w:rPr>
      </w:pPr>
      <w:r w:rsidRPr="006D7C73">
        <w:rPr>
          <w:sz w:val="20"/>
          <w:szCs w:val="20"/>
        </w:rPr>
        <w:t>Provision of a network of highway depots and specific depot management team to support the highway delivery function.</w:t>
      </w:r>
    </w:p>
    <w:p w:rsidR="00404006" w:rsidRPr="006D7C73" w:rsidRDefault="00404006" w:rsidP="00DD1F45">
      <w:pPr>
        <w:pStyle w:val="ListParagraph"/>
        <w:numPr>
          <w:ilvl w:val="0"/>
          <w:numId w:val="7"/>
        </w:numPr>
        <w:rPr>
          <w:sz w:val="20"/>
          <w:szCs w:val="20"/>
        </w:rPr>
      </w:pPr>
      <w:r w:rsidRPr="006D7C73">
        <w:rPr>
          <w:sz w:val="20"/>
          <w:szCs w:val="20"/>
        </w:rPr>
        <w:t>Provision of Environmental Services team responsible for grounds maintenance work undertaken for internal County Council clients and external bodies.</w:t>
      </w:r>
    </w:p>
    <w:p w:rsidR="00417398" w:rsidRDefault="00404006" w:rsidP="00A82755">
      <w:pPr>
        <w:pStyle w:val="ListParagraph"/>
        <w:numPr>
          <w:ilvl w:val="0"/>
          <w:numId w:val="7"/>
        </w:numPr>
        <w:rPr>
          <w:sz w:val="20"/>
          <w:szCs w:val="20"/>
        </w:rPr>
      </w:pPr>
      <w:r w:rsidRPr="00A82755">
        <w:rPr>
          <w:sz w:val="20"/>
          <w:szCs w:val="20"/>
        </w:rPr>
        <w:t>Provision of a customer services</w:t>
      </w:r>
      <w:r w:rsidR="006D7C73" w:rsidRPr="00A82755">
        <w:rPr>
          <w:sz w:val="20"/>
          <w:szCs w:val="20"/>
        </w:rPr>
        <w:t>/business support</w:t>
      </w:r>
      <w:r w:rsidRPr="00A82755">
        <w:rPr>
          <w:sz w:val="20"/>
          <w:szCs w:val="20"/>
        </w:rPr>
        <w:t xml:space="preserve"> team responsible for resolving and responding to enquiries generated from the enquiry</w:t>
      </w:r>
      <w:r w:rsidR="006D7C73" w:rsidRPr="00A82755">
        <w:rPr>
          <w:sz w:val="20"/>
          <w:szCs w:val="20"/>
        </w:rPr>
        <w:t xml:space="preserve"> management systems and </w:t>
      </w:r>
      <w:r w:rsidRPr="00A82755">
        <w:rPr>
          <w:sz w:val="20"/>
          <w:szCs w:val="20"/>
        </w:rPr>
        <w:t>related support functions including highway damages, third party claims, skips and scaffolding permits etc.</w:t>
      </w:r>
    </w:p>
    <w:p w:rsidR="00AE2D14" w:rsidRPr="00E73D39" w:rsidRDefault="00AE2D14" w:rsidP="00AE2D14">
      <w:pPr>
        <w:pStyle w:val="ListParagraph"/>
        <w:numPr>
          <w:ilvl w:val="0"/>
          <w:numId w:val="7"/>
        </w:numPr>
        <w:spacing w:after="0" w:line="240" w:lineRule="auto"/>
        <w:rPr>
          <w:sz w:val="20"/>
          <w:szCs w:val="20"/>
        </w:rPr>
      </w:pPr>
      <w:r>
        <w:rPr>
          <w:sz w:val="20"/>
          <w:szCs w:val="20"/>
        </w:rPr>
        <w:t>Management of</w:t>
      </w:r>
      <w:r w:rsidRPr="00E73D39">
        <w:rPr>
          <w:sz w:val="20"/>
          <w:szCs w:val="20"/>
        </w:rPr>
        <w:t xml:space="preserve"> Lancashire's traffic control systems, including the operation of some 300 signalised junctions and 300 crossing points (Toucan, Puffin and Pelican) and electronic road signs</w:t>
      </w:r>
    </w:p>
    <w:p w:rsidR="00A82755" w:rsidRPr="00A82755" w:rsidRDefault="00A82755" w:rsidP="00AE2D14">
      <w:pPr>
        <w:pStyle w:val="ListParagraph"/>
        <w:rPr>
          <w:sz w:val="20"/>
          <w:szCs w:val="20"/>
        </w:rPr>
      </w:pPr>
    </w:p>
    <w:p w:rsidR="00D40155" w:rsidRDefault="00D40155" w:rsidP="00D40155">
      <w:pPr>
        <w:pStyle w:val="ListParagraph"/>
      </w:pPr>
    </w:p>
    <w:sectPr w:rsidR="00D40155" w:rsidSect="00F678F4">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5184"/>
    <w:multiLevelType w:val="hybridMultilevel"/>
    <w:tmpl w:val="EA962A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715CED"/>
    <w:multiLevelType w:val="hybridMultilevel"/>
    <w:tmpl w:val="8C1C7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94203"/>
    <w:multiLevelType w:val="hybridMultilevel"/>
    <w:tmpl w:val="808AC2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DF4BCE"/>
    <w:multiLevelType w:val="hybridMultilevel"/>
    <w:tmpl w:val="412E0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01A8F"/>
    <w:multiLevelType w:val="hybridMultilevel"/>
    <w:tmpl w:val="44AE5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6E0A1E"/>
    <w:multiLevelType w:val="hybridMultilevel"/>
    <w:tmpl w:val="F07EA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6B5BA3"/>
    <w:multiLevelType w:val="hybridMultilevel"/>
    <w:tmpl w:val="8E861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C36BE6"/>
    <w:multiLevelType w:val="hybridMultilevel"/>
    <w:tmpl w:val="C0D42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584670"/>
    <w:multiLevelType w:val="hybridMultilevel"/>
    <w:tmpl w:val="F4E6A5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2FF34CF"/>
    <w:multiLevelType w:val="hybridMultilevel"/>
    <w:tmpl w:val="716A4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7E0F0F"/>
    <w:multiLevelType w:val="hybridMultilevel"/>
    <w:tmpl w:val="DDDAA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111DC4"/>
    <w:multiLevelType w:val="hybridMultilevel"/>
    <w:tmpl w:val="B9E4E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2E74FE"/>
    <w:multiLevelType w:val="hybridMultilevel"/>
    <w:tmpl w:val="3F6A4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17084C"/>
    <w:multiLevelType w:val="hybridMultilevel"/>
    <w:tmpl w:val="EC087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9370F7"/>
    <w:multiLevelType w:val="hybridMultilevel"/>
    <w:tmpl w:val="74765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5538D0"/>
    <w:multiLevelType w:val="hybridMultilevel"/>
    <w:tmpl w:val="8E0AA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8"/>
  </w:num>
  <w:num w:numId="4">
    <w:abstractNumId w:val="11"/>
  </w:num>
  <w:num w:numId="5">
    <w:abstractNumId w:val="3"/>
  </w:num>
  <w:num w:numId="6">
    <w:abstractNumId w:val="15"/>
  </w:num>
  <w:num w:numId="7">
    <w:abstractNumId w:val="12"/>
  </w:num>
  <w:num w:numId="8">
    <w:abstractNumId w:val="0"/>
  </w:num>
  <w:num w:numId="9">
    <w:abstractNumId w:val="5"/>
  </w:num>
  <w:num w:numId="10">
    <w:abstractNumId w:val="10"/>
  </w:num>
  <w:num w:numId="11">
    <w:abstractNumId w:val="9"/>
  </w:num>
  <w:num w:numId="12">
    <w:abstractNumId w:val="2"/>
  </w:num>
  <w:num w:numId="13">
    <w:abstractNumId w:val="1"/>
  </w:num>
  <w:num w:numId="14">
    <w:abstractNumId w:val="4"/>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8F4"/>
    <w:rsid w:val="00002B0B"/>
    <w:rsid w:val="00005C85"/>
    <w:rsid w:val="00007B09"/>
    <w:rsid w:val="00021626"/>
    <w:rsid w:val="0002478F"/>
    <w:rsid w:val="000A7462"/>
    <w:rsid w:val="000B5A1F"/>
    <w:rsid w:val="0013026F"/>
    <w:rsid w:val="00131027"/>
    <w:rsid w:val="00143F62"/>
    <w:rsid w:val="001C719F"/>
    <w:rsid w:val="001E2B0E"/>
    <w:rsid w:val="001E399B"/>
    <w:rsid w:val="0024476E"/>
    <w:rsid w:val="00245FA8"/>
    <w:rsid w:val="002F37F9"/>
    <w:rsid w:val="002F3EB0"/>
    <w:rsid w:val="0032008B"/>
    <w:rsid w:val="003E0FE8"/>
    <w:rsid w:val="003F2F7D"/>
    <w:rsid w:val="00404006"/>
    <w:rsid w:val="00417398"/>
    <w:rsid w:val="00432F45"/>
    <w:rsid w:val="00462731"/>
    <w:rsid w:val="0047450A"/>
    <w:rsid w:val="00497CCB"/>
    <w:rsid w:val="004E5E2A"/>
    <w:rsid w:val="005251FF"/>
    <w:rsid w:val="00530E93"/>
    <w:rsid w:val="00552955"/>
    <w:rsid w:val="005848BE"/>
    <w:rsid w:val="006000AC"/>
    <w:rsid w:val="006021E2"/>
    <w:rsid w:val="00627357"/>
    <w:rsid w:val="00643763"/>
    <w:rsid w:val="0068594E"/>
    <w:rsid w:val="00690CE6"/>
    <w:rsid w:val="006A50FF"/>
    <w:rsid w:val="006D7C73"/>
    <w:rsid w:val="006F16D9"/>
    <w:rsid w:val="00713E95"/>
    <w:rsid w:val="00746D9C"/>
    <w:rsid w:val="007767CD"/>
    <w:rsid w:val="0078737A"/>
    <w:rsid w:val="00817904"/>
    <w:rsid w:val="008A0D1D"/>
    <w:rsid w:val="009C6A20"/>
    <w:rsid w:val="009F7877"/>
    <w:rsid w:val="00A040FA"/>
    <w:rsid w:val="00A6183E"/>
    <w:rsid w:val="00A735C9"/>
    <w:rsid w:val="00A80B3F"/>
    <w:rsid w:val="00A82755"/>
    <w:rsid w:val="00A85BE9"/>
    <w:rsid w:val="00A87F84"/>
    <w:rsid w:val="00AE2D14"/>
    <w:rsid w:val="00AE5523"/>
    <w:rsid w:val="00B54BC6"/>
    <w:rsid w:val="00B72781"/>
    <w:rsid w:val="00BB7753"/>
    <w:rsid w:val="00BD038E"/>
    <w:rsid w:val="00C92776"/>
    <w:rsid w:val="00CD5A62"/>
    <w:rsid w:val="00D40155"/>
    <w:rsid w:val="00D5431B"/>
    <w:rsid w:val="00D77123"/>
    <w:rsid w:val="00DD1F45"/>
    <w:rsid w:val="00E16234"/>
    <w:rsid w:val="00EC316D"/>
    <w:rsid w:val="00F51C73"/>
    <w:rsid w:val="00F6030D"/>
    <w:rsid w:val="00F678F4"/>
    <w:rsid w:val="00F934CE"/>
    <w:rsid w:val="00FC1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C3CE1-4C83-40DA-A6EF-3AE7E08F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8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78F4"/>
    <w:pPr>
      <w:ind w:left="720"/>
      <w:contextualSpacing/>
    </w:pPr>
  </w:style>
  <w:style w:type="paragraph" w:styleId="BalloonText">
    <w:name w:val="Balloon Text"/>
    <w:basedOn w:val="Normal"/>
    <w:link w:val="BalloonTextChar"/>
    <w:uiPriority w:val="99"/>
    <w:semiHidden/>
    <w:unhideWhenUsed/>
    <w:rsid w:val="006273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357"/>
    <w:rPr>
      <w:rFonts w:ascii="Segoe UI" w:hAnsi="Segoe UI" w:cs="Segoe UI"/>
      <w:sz w:val="18"/>
      <w:szCs w:val="18"/>
    </w:rPr>
  </w:style>
  <w:style w:type="character" w:styleId="Hyperlink">
    <w:name w:val="Hyperlink"/>
    <w:basedOn w:val="DefaultParagraphFont"/>
    <w:uiPriority w:val="99"/>
    <w:semiHidden/>
    <w:unhideWhenUsed/>
    <w:rsid w:val="009C6A20"/>
    <w:rPr>
      <w:color w:val="0563C1"/>
      <w:u w:val="single"/>
    </w:rPr>
  </w:style>
  <w:style w:type="character" w:styleId="FollowedHyperlink">
    <w:name w:val="FollowedHyperlink"/>
    <w:basedOn w:val="DefaultParagraphFont"/>
    <w:uiPriority w:val="99"/>
    <w:semiHidden/>
    <w:unhideWhenUsed/>
    <w:rsid w:val="00143F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12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uncil.lancashire.gov.uk/ecSDDisplay.aspx?NAME=SD1421&amp;ID=1421&amp;RPID=7644019&amp;sch=doc&amp;cat=13868&amp;path=1386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Parmar, Bhaveni</dc:creator>
  <cp:keywords/>
  <dc:description/>
  <cp:lastModifiedBy>Alker, Craig</cp:lastModifiedBy>
  <cp:revision>18</cp:revision>
  <cp:lastPrinted>2015-11-04T17:40:00Z</cp:lastPrinted>
  <dcterms:created xsi:type="dcterms:W3CDTF">2015-11-05T13:05:00Z</dcterms:created>
  <dcterms:modified xsi:type="dcterms:W3CDTF">2015-11-16T15:11:00Z</dcterms:modified>
</cp:coreProperties>
</file>